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7256" w14:textId="6771E75E" w:rsidR="00B469B1" w:rsidRPr="00F375C3" w:rsidRDefault="009B6045" w:rsidP="00B469B1">
      <w:pPr>
        <w:jc w:val="center"/>
        <w:rPr>
          <w:rFonts w:ascii="Cambria" w:hAnsi="Cambria"/>
          <w:b/>
          <w:bCs/>
        </w:rPr>
      </w:pPr>
      <w:r w:rsidRPr="00F375C3">
        <w:rPr>
          <w:rFonts w:ascii="Cambria" w:hAnsi="Cambria"/>
          <w:b/>
          <w:bCs/>
        </w:rPr>
        <w:t xml:space="preserve">  </w:t>
      </w:r>
      <w:r w:rsidR="00B469B1" w:rsidRPr="00F375C3">
        <w:rPr>
          <w:rFonts w:ascii="Cambria" w:hAnsi="Cambria"/>
          <w:b/>
          <w:bCs/>
        </w:rPr>
        <w:t xml:space="preserve">Załącznik Nr </w:t>
      </w:r>
      <w:r w:rsidR="00D5038B">
        <w:rPr>
          <w:rFonts w:ascii="Cambria" w:hAnsi="Cambria"/>
          <w:b/>
          <w:bCs/>
        </w:rPr>
        <w:t>8</w:t>
      </w:r>
      <w:r w:rsidR="00B469B1" w:rsidRPr="00F375C3">
        <w:rPr>
          <w:rFonts w:ascii="Cambria" w:hAnsi="Cambria"/>
          <w:b/>
          <w:bCs/>
        </w:rPr>
        <w:t xml:space="preserve"> do SWZ</w:t>
      </w:r>
    </w:p>
    <w:p w14:paraId="15F12A02" w14:textId="561F8888" w:rsidR="00B469B1" w:rsidRPr="00F375C3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F375C3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7E1F46CA" w14:textId="024A6F6A" w:rsidR="00E32968" w:rsidRPr="001006F7" w:rsidRDefault="00E32968" w:rsidP="00E32968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</w:t>
      </w:r>
      <w:r w:rsidR="00F5642C">
        <w:rPr>
          <w:rFonts w:ascii="Cambria" w:hAnsi="Cambria" w:cstheme="minorHAnsi"/>
          <w:b/>
          <w:sz w:val="24"/>
          <w:szCs w:val="24"/>
        </w:rPr>
        <w:t>.</w:t>
      </w:r>
      <w:r w:rsidR="00055EAD">
        <w:rPr>
          <w:rFonts w:ascii="Cambria" w:hAnsi="Cambria" w:cstheme="minorHAnsi"/>
          <w:b/>
          <w:sz w:val="24"/>
          <w:szCs w:val="24"/>
        </w:rPr>
        <w:t>4</w:t>
      </w:r>
      <w:r w:rsidR="00F5642C">
        <w:rPr>
          <w:rFonts w:ascii="Cambria" w:hAnsi="Cambria" w:cstheme="minorHAnsi"/>
          <w:b/>
          <w:sz w:val="24"/>
          <w:szCs w:val="24"/>
        </w:rPr>
        <w:t>.</w:t>
      </w:r>
      <w:r w:rsidRPr="008B2D49">
        <w:rPr>
          <w:rFonts w:ascii="Cambria" w:hAnsi="Cambria" w:cstheme="minorHAnsi"/>
          <w:b/>
          <w:sz w:val="24"/>
          <w:szCs w:val="24"/>
        </w:rPr>
        <w:t>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53359EA4" w14:textId="77777777" w:rsidR="00F375C3" w:rsidRPr="00F375C3" w:rsidRDefault="00F375C3" w:rsidP="00F375C3">
      <w:pPr>
        <w:rPr>
          <w:rFonts w:ascii="Cambria" w:hAnsi="Cambria"/>
          <w:b/>
          <w:bCs/>
          <w:sz w:val="10"/>
          <w:szCs w:val="10"/>
        </w:rPr>
      </w:pPr>
    </w:p>
    <w:tbl>
      <w:tblPr>
        <w:tblW w:w="87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4686"/>
        <w:gridCol w:w="1551"/>
        <w:gridCol w:w="2552"/>
      </w:tblGrid>
      <w:tr w:rsidR="00F375C3" w:rsidRPr="00F375C3" w14:paraId="7BB69F72" w14:textId="77777777" w:rsidTr="006D0B9C">
        <w:trPr>
          <w:trHeight w:val="44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0DF0AEA6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="Arial"/>
                <w:b/>
                <w:bCs/>
              </w:rPr>
            </w:pPr>
            <w:r w:rsidRPr="00F375C3">
              <w:rPr>
                <w:rFonts w:ascii="Cambria" w:hAnsi="Cambria" w:cs="Arial"/>
                <w:b/>
                <w:bCs/>
              </w:rPr>
              <w:t>Dane techniczne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6568BFD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="Arial"/>
                <w:b/>
              </w:rPr>
            </w:pPr>
            <w:r w:rsidRPr="00F375C3">
              <w:rPr>
                <w:rFonts w:ascii="Cambria" w:hAnsi="Cambria" w:cs="Arial"/>
                <w:b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7E938086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="Arial"/>
                <w:b/>
                <w:bCs/>
              </w:rPr>
            </w:pPr>
            <w:r w:rsidRPr="00F375C3">
              <w:rPr>
                <w:rFonts w:ascii="Cambria" w:hAnsi="Cambria" w:cs="Arial"/>
                <w:b/>
                <w:bCs/>
              </w:rPr>
              <w:t>Parametry</w:t>
            </w:r>
          </w:p>
        </w:tc>
      </w:tr>
      <w:tr w:rsidR="00F375C3" w:rsidRPr="00F375C3" w14:paraId="6867D246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0FC18A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Cs/>
                <w:sz w:val="22"/>
                <w:szCs w:val="22"/>
              </w:rPr>
              <w:t xml:space="preserve">Sprawność kotła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809EF9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FC07B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88,6</w:t>
            </w:r>
          </w:p>
        </w:tc>
      </w:tr>
      <w:tr w:rsidR="00F375C3" w:rsidRPr="00F375C3" w14:paraId="5D92F6D0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AABFB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Cs/>
                <w:sz w:val="22"/>
                <w:szCs w:val="22"/>
              </w:rPr>
              <w:t>Płynna modulacja mocy kotła w zakresie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A4B33F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7D437E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30-100</w:t>
            </w:r>
          </w:p>
        </w:tc>
      </w:tr>
      <w:tr w:rsidR="00F375C3" w:rsidRPr="00F375C3" w14:paraId="70EB8DF9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1372AF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temperatura powrotu czynnika grzewczego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239DB6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6057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55</w:t>
            </w:r>
          </w:p>
        </w:tc>
      </w:tr>
      <w:tr w:rsidR="00F375C3" w:rsidRPr="00F375C3" w14:paraId="7A78540E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B28611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Maksymalna temperatura pracy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CDF05A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8A6CB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85</w:t>
            </w:r>
          </w:p>
        </w:tc>
      </w:tr>
      <w:tr w:rsidR="00F375C3" w:rsidRPr="00F375C3" w14:paraId="31B7D2FD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3D9F29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Ogranicznik temperatury STB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0FCE52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6B055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94</w:t>
            </w:r>
          </w:p>
        </w:tc>
      </w:tr>
      <w:tr w:rsidR="00F375C3" w:rsidRPr="00F375C3" w14:paraId="1E1470AF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5F060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Minimalna ilość ciągów spalin w wymienniku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83831D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49F3A2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Trzy ciągi spalin</w:t>
            </w:r>
          </w:p>
        </w:tc>
      </w:tr>
      <w:tr w:rsidR="00F375C3" w:rsidRPr="00F375C3" w14:paraId="66BA217B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33B375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grubość blachy w wymienniku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7846BB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3E2264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5</w:t>
            </w:r>
          </w:p>
        </w:tc>
      </w:tr>
      <w:tr w:rsidR="00F375C3" w:rsidRPr="00F375C3" w14:paraId="77720A7A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A34CA5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Budowa wymiennika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C00B11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755CB2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Płomieniówkowo- półkowa</w:t>
            </w:r>
          </w:p>
        </w:tc>
      </w:tr>
      <w:tr w:rsidR="00F375C3" w:rsidRPr="00F375C3" w14:paraId="6030010E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08E739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Maksymalna wysokość kotła i zasobnika na </w:t>
            </w: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pellet</w:t>
            </w:r>
            <w:proofErr w:type="spellEnd"/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9B6E1F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DC4AD8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1600</w:t>
            </w:r>
          </w:p>
        </w:tc>
      </w:tr>
      <w:tr w:rsidR="00F375C3" w:rsidRPr="00F375C3" w14:paraId="21D40ED8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A565F5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Maksymalna szerokość kotła i zasobnika na </w:t>
            </w: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pellet</w:t>
            </w:r>
            <w:proofErr w:type="spellEnd"/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4522BF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52E2CF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600</w:t>
            </w:r>
          </w:p>
        </w:tc>
      </w:tr>
      <w:tr w:rsidR="00F375C3" w:rsidRPr="00F375C3" w14:paraId="26AA763E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A40AB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Dopuszczalne ciśnienie pracy do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9FD5E9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bar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DE13CE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</w:tr>
      <w:tr w:rsidR="00F375C3" w:rsidRPr="00F375C3" w14:paraId="0A8E0AF6" w14:textId="77777777" w:rsidTr="006D0B9C">
        <w:trPr>
          <w:trHeight w:val="283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86E909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Pojemność zasobnika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6E72B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FF41D9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300</w:t>
            </w:r>
          </w:p>
        </w:tc>
      </w:tr>
      <w:tr w:rsidR="00F375C3" w:rsidRPr="00F375C3" w14:paraId="1578E9AD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472CDA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długość rury podającej </w:t>
            </w: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pellet</w:t>
            </w:r>
            <w:proofErr w:type="spellEnd"/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 ze spiralą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90647C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6BD938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1350</w:t>
            </w:r>
          </w:p>
        </w:tc>
      </w:tr>
      <w:tr w:rsidR="00F375C3" w:rsidRPr="00F375C3" w14:paraId="6C32CEA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A94B64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długość rury przeźroczystej giętkiej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BE285A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1EC33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1000</w:t>
            </w:r>
          </w:p>
        </w:tc>
      </w:tr>
      <w:tr w:rsidR="00F375C3" w:rsidRPr="00F375C3" w14:paraId="3AB010DB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E7158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Wymagany zakres modulacji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BF4244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5E09F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30 - 100</w:t>
            </w:r>
          </w:p>
        </w:tc>
      </w:tr>
      <w:tr w:rsidR="00F375C3" w:rsidRPr="00F375C3" w14:paraId="05F90EF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838524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Wymagane elementy wyposażenia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9778EA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0683BF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Zapalarka ceramiczna, fotoelement, czujniki temperatury, automatyczne czyszczenie </w:t>
            </w:r>
            <w:proofErr w:type="gramStart"/>
            <w:r w:rsidRPr="00F375C3">
              <w:rPr>
                <w:rFonts w:ascii="Cambria" w:hAnsi="Cambria" w:cstheme="minorHAnsi"/>
                <w:sz w:val="22"/>
                <w:szCs w:val="22"/>
              </w:rPr>
              <w:t>palnika,</w:t>
            </w:r>
            <w:proofErr w:type="gramEnd"/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 (zgarniacz szlaki)</w:t>
            </w:r>
          </w:p>
        </w:tc>
      </w:tr>
      <w:tr w:rsidR="00F375C3" w:rsidRPr="00F375C3" w14:paraId="59C396C6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BF74F1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Wymagany zakres modulacji palnika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F61445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748949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30-100</w:t>
            </w:r>
          </w:p>
        </w:tc>
      </w:tr>
      <w:tr w:rsidR="00F375C3" w:rsidRPr="00F375C3" w14:paraId="615DA656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C214A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Dopuszczona budowa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FB49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5EC79" w14:textId="1DA55F9E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Wrzutowy (nasypowy)</w:t>
            </w:r>
          </w:p>
        </w:tc>
      </w:tr>
      <w:tr w:rsidR="00F375C3" w:rsidRPr="00F375C3" w14:paraId="49E66B4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C31CEA" w14:textId="77777777" w:rsidR="00F375C3" w:rsidRPr="00F375C3" w:rsidRDefault="00F375C3" w:rsidP="00D5038B">
            <w:pPr>
              <w:widowControl w:val="0"/>
              <w:suppressAutoHyphens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System napowietrzania procesu spalania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391786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483358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Dysze powietrza pierwotnego, dysze powietrza wtórnego</w:t>
            </w:r>
          </w:p>
        </w:tc>
      </w:tr>
      <w:tr w:rsidR="00F375C3" w:rsidRPr="00F375C3" w14:paraId="5E550789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AE07AB" w14:textId="77777777" w:rsidR="00F375C3" w:rsidRPr="00F375C3" w:rsidRDefault="00F375C3" w:rsidP="00D5038B">
            <w:pPr>
              <w:pStyle w:val="Tekstpodstawowywcity"/>
              <w:snapToGrid w:val="0"/>
              <w:spacing w:after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Sterownik z możliwością zliczania i zapisu na karcie micro SD (SD) impulsów z zewnętrznego przepływomierza z czujnikami temperatury zasilanie/ powrót – funkcja zliczania ciepła.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68E2A4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CB9E46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  <w:p w14:paraId="12839E1A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F375C3" w:rsidRPr="00F375C3" w14:paraId="440A20E1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0F0688" w14:textId="77777777" w:rsidR="00F375C3" w:rsidRPr="00F375C3" w:rsidRDefault="00F375C3" w:rsidP="00D5038B">
            <w:pPr>
              <w:pStyle w:val="Tekstpodstawowywcity"/>
              <w:snapToGrid w:val="0"/>
              <w:spacing w:after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Możliwość podłączenie do sterownika modułu komunikacji 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7A8198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CA9D87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</w:tc>
      </w:tr>
      <w:tr w:rsidR="00F375C3" w:rsidRPr="00F375C3" w14:paraId="24FE48F8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9C3399" w14:textId="77777777" w:rsidR="00F375C3" w:rsidRPr="00F375C3" w:rsidRDefault="00F375C3" w:rsidP="00D5038B">
            <w:pPr>
              <w:pStyle w:val="Tekstpodstawowywcity"/>
              <w:snapToGrid w:val="0"/>
              <w:spacing w:after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Gwarancja na kocioł min. 5 lat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7468F3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proofErr w:type="spellStart"/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  <w:proofErr w:type="spellEnd"/>
            <w:r w:rsidRPr="00F375C3">
              <w:rPr>
                <w:rFonts w:ascii="Cambria" w:hAnsi="Cambria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EAE920" w14:textId="77777777" w:rsidR="00F375C3" w:rsidRPr="00F375C3" w:rsidRDefault="00F375C3" w:rsidP="00D5038B">
            <w:pPr>
              <w:widowControl w:val="0"/>
              <w:suppressAutoHyphens/>
              <w:jc w:val="center"/>
              <w:rPr>
                <w:rFonts w:ascii="Cambria" w:hAnsi="Cambria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</w:tc>
      </w:tr>
    </w:tbl>
    <w:p w14:paraId="2EF70A45" w14:textId="77777777" w:rsidR="00F375C3" w:rsidRPr="00F375C3" w:rsidRDefault="00F375C3" w:rsidP="00792447">
      <w:pPr>
        <w:pStyle w:val="Akapitzlist"/>
        <w:ind w:left="426"/>
        <w:rPr>
          <w:rFonts w:ascii="Cambria" w:hAnsi="Cambria"/>
          <w:b/>
          <w:bCs/>
          <w:sz w:val="28"/>
          <w:szCs w:val="28"/>
        </w:rPr>
      </w:pPr>
    </w:p>
    <w:sectPr w:rsidR="00F375C3" w:rsidRPr="00F375C3" w:rsidSect="00D5038B">
      <w:headerReference w:type="default" r:id="rId7"/>
      <w:pgSz w:w="11906" w:h="16838"/>
      <w:pgMar w:top="1418" w:right="1134" w:bottom="843" w:left="1985" w:header="21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9F18" w14:textId="77777777" w:rsidR="00C954EB" w:rsidRDefault="00C954EB" w:rsidP="00B469B1">
      <w:r>
        <w:separator/>
      </w:r>
    </w:p>
  </w:endnote>
  <w:endnote w:type="continuationSeparator" w:id="0">
    <w:p w14:paraId="0FF785BE" w14:textId="77777777" w:rsidR="00C954EB" w:rsidRDefault="00C954EB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CD49" w14:textId="77777777" w:rsidR="00C954EB" w:rsidRDefault="00C954EB" w:rsidP="00B469B1">
      <w:r>
        <w:separator/>
      </w:r>
    </w:p>
  </w:footnote>
  <w:footnote w:type="continuationSeparator" w:id="0">
    <w:p w14:paraId="2FF44B81" w14:textId="77777777" w:rsidR="00C954EB" w:rsidRDefault="00C954EB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2C93" w14:textId="77777777" w:rsidR="00F375C3" w:rsidRDefault="00F375C3" w:rsidP="00F375C3">
    <w:pPr>
      <w:pStyle w:val="Nagwek"/>
    </w:pPr>
    <w:r w:rsidRPr="003C0749">
      <w:rPr>
        <w:noProof/>
      </w:rPr>
      <w:drawing>
        <wp:inline distT="0" distB="0" distL="0" distR="0" wp14:anchorId="50D3E2B8" wp14:editId="6BAD7A78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64765" w14:textId="77777777" w:rsidR="00F375C3" w:rsidRDefault="00F375C3" w:rsidP="00F375C3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200DE9ED" w14:textId="77777777" w:rsidR="00F375C3" w:rsidRPr="00410530" w:rsidRDefault="00F375C3" w:rsidP="00F375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3FC2"/>
    <w:multiLevelType w:val="multilevel"/>
    <w:tmpl w:val="5B36A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623D"/>
    <w:multiLevelType w:val="multilevel"/>
    <w:tmpl w:val="0B5A0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03BA1"/>
    <w:rsid w:val="00014FF8"/>
    <w:rsid w:val="0004516D"/>
    <w:rsid w:val="00055EAD"/>
    <w:rsid w:val="00064431"/>
    <w:rsid w:val="000653A3"/>
    <w:rsid w:val="00085A2B"/>
    <w:rsid w:val="00096FDE"/>
    <w:rsid w:val="000D1C9E"/>
    <w:rsid w:val="000F7C1A"/>
    <w:rsid w:val="0011073E"/>
    <w:rsid w:val="001127AB"/>
    <w:rsid w:val="001510FF"/>
    <w:rsid w:val="00196251"/>
    <w:rsid w:val="001C20F1"/>
    <w:rsid w:val="001D4840"/>
    <w:rsid w:val="00225C40"/>
    <w:rsid w:val="002344F3"/>
    <w:rsid w:val="002757A5"/>
    <w:rsid w:val="002A1CBF"/>
    <w:rsid w:val="002F369B"/>
    <w:rsid w:val="002F797D"/>
    <w:rsid w:val="00345262"/>
    <w:rsid w:val="003500CF"/>
    <w:rsid w:val="00414579"/>
    <w:rsid w:val="0045021F"/>
    <w:rsid w:val="00457404"/>
    <w:rsid w:val="004832FD"/>
    <w:rsid w:val="0049734E"/>
    <w:rsid w:val="00525BC6"/>
    <w:rsid w:val="00527EF3"/>
    <w:rsid w:val="00570DC3"/>
    <w:rsid w:val="00592B6F"/>
    <w:rsid w:val="005B022B"/>
    <w:rsid w:val="005D4ED7"/>
    <w:rsid w:val="005F300E"/>
    <w:rsid w:val="00655189"/>
    <w:rsid w:val="00665760"/>
    <w:rsid w:val="00682D77"/>
    <w:rsid w:val="00686E93"/>
    <w:rsid w:val="006B59E6"/>
    <w:rsid w:val="00733944"/>
    <w:rsid w:val="0077704B"/>
    <w:rsid w:val="0079212D"/>
    <w:rsid w:val="00792447"/>
    <w:rsid w:val="007A35E2"/>
    <w:rsid w:val="007B551A"/>
    <w:rsid w:val="007C4934"/>
    <w:rsid w:val="007F7ABE"/>
    <w:rsid w:val="0082100B"/>
    <w:rsid w:val="00841D74"/>
    <w:rsid w:val="008D2215"/>
    <w:rsid w:val="008E4513"/>
    <w:rsid w:val="00907A73"/>
    <w:rsid w:val="009A2A9D"/>
    <w:rsid w:val="009B6045"/>
    <w:rsid w:val="009F7A22"/>
    <w:rsid w:val="00A109CC"/>
    <w:rsid w:val="00A164A0"/>
    <w:rsid w:val="00B1336C"/>
    <w:rsid w:val="00B469B1"/>
    <w:rsid w:val="00B517E0"/>
    <w:rsid w:val="00B57DB2"/>
    <w:rsid w:val="00B75A7A"/>
    <w:rsid w:val="00BB6188"/>
    <w:rsid w:val="00BB64D1"/>
    <w:rsid w:val="00BC4BDD"/>
    <w:rsid w:val="00BC7101"/>
    <w:rsid w:val="00BD7DED"/>
    <w:rsid w:val="00C52F77"/>
    <w:rsid w:val="00C62C7E"/>
    <w:rsid w:val="00C84576"/>
    <w:rsid w:val="00C906AB"/>
    <w:rsid w:val="00C954EB"/>
    <w:rsid w:val="00CA06AF"/>
    <w:rsid w:val="00CA1043"/>
    <w:rsid w:val="00CB1FCC"/>
    <w:rsid w:val="00D5038B"/>
    <w:rsid w:val="00DA6A8A"/>
    <w:rsid w:val="00E32968"/>
    <w:rsid w:val="00E94F23"/>
    <w:rsid w:val="00EF6257"/>
    <w:rsid w:val="00F375C3"/>
    <w:rsid w:val="00F44187"/>
    <w:rsid w:val="00F5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B133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6FD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4526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45262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Robert Słowikowski</cp:lastModifiedBy>
  <cp:revision>19</cp:revision>
  <dcterms:created xsi:type="dcterms:W3CDTF">2021-02-11T12:34:00Z</dcterms:created>
  <dcterms:modified xsi:type="dcterms:W3CDTF">2021-10-21T11:44:00Z</dcterms:modified>
</cp:coreProperties>
</file>