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  </w:t>
      </w:r>
      <w:r>
        <w:rPr>
          <w:rFonts w:ascii="Cambria" w:hAnsi="Cambria"/>
          <w:b/>
          <w:bCs/>
        </w:rPr>
        <w:t>Załącznik Nr 9 do SIWZ</w:t>
      </w:r>
    </w:p>
    <w:p>
      <w:pPr>
        <w:pStyle w:val="Tretekstu"/>
        <w:pBdr>
          <w:bottom w:val="single" w:sz="4" w:space="1" w:color="00000A"/>
        </w:pBdr>
        <w:spacing w:lineRule="auto" w:line="240"/>
        <w:jc w:val="center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>Minimalne parametry urządzeń do potwierdzenia kartami katalogowymi</w:t>
      </w:r>
    </w:p>
    <w:p>
      <w:pPr>
        <w:pStyle w:val="Normal"/>
        <w:tabs>
          <w:tab w:val="left" w:pos="567" w:leader="none"/>
        </w:tabs>
        <w:spacing w:before="0" w:after="0"/>
        <w:contextualSpacing/>
        <w:jc w:val="center"/>
        <w:rPr>
          <w:rFonts w:ascii="Cambria" w:hAnsi="Cambria"/>
          <w:b/>
          <w:b/>
          <w:bCs/>
          <w:color w:val="000000" w:themeColor="text1"/>
        </w:rPr>
      </w:pPr>
      <w:r>
        <w:rPr>
          <w:rFonts w:ascii="Cambria" w:hAnsi="Cambria"/>
          <w:bCs/>
        </w:rPr>
        <w:t>(Zna</w:t>
      </w:r>
      <w:r>
        <w:rPr>
          <w:rFonts w:ascii="Cambria" w:hAnsi="Cambria"/>
          <w:bCs/>
          <w:color w:val="000000" w:themeColor="text1"/>
        </w:rPr>
        <w:t xml:space="preserve">k postępowania: </w:t>
      </w:r>
      <w:r>
        <w:rPr>
          <w:rFonts w:ascii="Cambria" w:hAnsi="Cambria"/>
          <w:b/>
          <w:color w:val="000000" w:themeColor="text1"/>
        </w:rPr>
        <w:t>IPR.271.1.2021</w:t>
      </w:r>
      <w:r>
        <w:rPr>
          <w:rFonts w:ascii="Cambria" w:hAnsi="Cambria"/>
          <w:bCs/>
          <w:color w:val="000000" w:themeColor="text1"/>
          <w:shd w:fill="FFFFFF" w:val="clear"/>
        </w:rPr>
        <w:t>)</w:t>
      </w:r>
    </w:p>
    <w:p>
      <w:pPr>
        <w:pStyle w:val="Normal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część 1 zamówienia:  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720" w:hanging="720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Kolektory słoneczne.</w:t>
      </w:r>
    </w:p>
    <w:tbl>
      <w:tblPr>
        <w:tblW w:w="8640" w:type="dxa"/>
        <w:jc w:val="left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7346"/>
        <w:gridCol w:w="1293"/>
      </w:tblGrid>
      <w:tr>
        <w:trPr/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mbria" w:hAnsi="Cambria"/>
                <w:b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mbria" w:hAnsi="Cambria"/>
                <w:b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>
        <w:trPr/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107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Minimalna moc wyjściowa pojedynczego kolektora przy nasłonecznieniu 1000W/m 2i różnicy temperatur Tm-Ta=30oK (wg normy PN EN 12975-2: 2007 lub równoważnej)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1700 W</w:t>
            </w:r>
          </w:p>
        </w:tc>
      </w:tr>
      <w:tr>
        <w:trPr/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107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Minimalna sprawność optyczna kolektora odniesiona do powierzchni apertury, potwierdzona Solar Keymark lub równoważny, wydany przez jednostkę oceniającą zgodność zgodnie z art. 30b ust. 1 ustawy Pzp.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83,0 %</w:t>
            </w:r>
          </w:p>
        </w:tc>
      </w:tr>
      <w:tr>
        <w:trPr/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107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Maksymalny współczynnik utraty ciepła a1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4,20 W/(m2K)</w:t>
            </w:r>
          </w:p>
        </w:tc>
      </w:tr>
      <w:tr>
        <w:trPr>
          <w:trHeight w:val="612" w:hRule="atLeast"/>
        </w:trPr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107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Maksymalny współczynnik zależności temperatury utraty ciepła a2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0,020 W/(m2K2)</w:t>
            </w:r>
          </w:p>
        </w:tc>
      </w:tr>
      <w:tr>
        <w:trPr/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107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Układ hydrauliczny kolektora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Meandrowy</w:t>
            </w:r>
          </w:p>
        </w:tc>
      </w:tr>
      <w:tr>
        <w:trPr/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107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Układ hydrauliczny kolektora słonecznego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Miedziany</w:t>
            </w:r>
          </w:p>
        </w:tc>
      </w:tr>
      <w:tr>
        <w:trPr/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107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Połączenie absorbera z układem hydraulicznym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Spawanie laserowe</w:t>
            </w:r>
          </w:p>
        </w:tc>
      </w:tr>
      <w:tr>
        <w:trPr/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107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Rodzaj absorbera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Miedziany lub aluminiowy</w:t>
            </w:r>
          </w:p>
        </w:tc>
      </w:tr>
      <w:tr>
        <w:trPr/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107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Rodzaj materiału obudowy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Rama aluminiowa</w:t>
            </w:r>
          </w:p>
        </w:tc>
      </w:tr>
      <w:tr>
        <w:trPr/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76" w:before="40" w:after="40"/>
              <w:rPr>
                <w:rFonts w:ascii="Calibri" w:hAnsi="Calibri" w:eastAsia="Lucida Sans Unicode" w:cs="Calibri" w:asciiTheme="minorHAnsi" w:cs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Calibri" w:ascii="Calibri" w:hAnsi="Calibri" w:asciiTheme="minorHAnsi" w:cstheme="minorHAnsi" w:hAnsiTheme="minorHAnsi"/>
                <w:kern w:val="2"/>
                <w:sz w:val="20"/>
                <w:szCs w:val="20"/>
                <w:lang w:eastAsia="hi-IN" w:bidi="hi-IN"/>
              </w:rPr>
              <w:t xml:space="preserve">Max dopuszczalna temp. pracy (temp. stagnacji) </w:t>
            </w:r>
            <w:r>
              <w:rPr>
                <w:rFonts w:eastAsia="Lucida Sans Unicode" w:cs="Calibri" w:ascii="Calibri" w:hAnsi="Calibri" w:asciiTheme="minorHAnsi" w:cstheme="minorHAnsi" w:hAnsiTheme="minorHAnsi"/>
                <w:bCs/>
                <w:kern w:val="2"/>
                <w:sz w:val="20"/>
                <w:szCs w:val="20"/>
                <w:lang w:eastAsia="hi-IN" w:bidi="hi-IN"/>
              </w:rPr>
              <w:t>przy GS = 1000 [W/m2]i dT = 30[°C]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Max 215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vertAlign w:val="superscript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</w:t>
            </w:r>
          </w:p>
        </w:tc>
      </w:tr>
      <w:tr>
        <w:trPr/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107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Minimalna grubość szyby solarnej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3,2 mm</w:t>
            </w:r>
          </w:p>
        </w:tc>
      </w:tr>
      <w:tr>
        <w:trPr/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ind w:right="107"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Grubość izolacji kolektora słonecznego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Min. 40 mm</w:t>
            </w:r>
          </w:p>
        </w:tc>
      </w:tr>
    </w:tbl>
    <w:p>
      <w:pPr>
        <w:pStyle w:val="ListParagraph"/>
        <w:tabs>
          <w:tab w:val="left" w:pos="284" w:leader="none"/>
        </w:tabs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720" w:hanging="720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Pojemnościowy podgrzewacz ciepłej wody użytkowej</w:t>
      </w:r>
    </w:p>
    <w:p>
      <w:pPr>
        <w:pStyle w:val="ListParagraph"/>
        <w:tabs>
          <w:tab w:val="left" w:pos="284" w:leader="none"/>
        </w:tabs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tbl>
      <w:tblPr>
        <w:tblW w:w="8505" w:type="dxa"/>
        <w:jc w:val="left"/>
        <w:tblInd w:w="2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2"/>
        <w:gridCol w:w="3618"/>
        <w:gridCol w:w="2635"/>
      </w:tblGrid>
      <w:tr>
        <w:trPr/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/>
                <w:b/>
                <w:lang w:eastAsia="pl-PL"/>
              </w:rPr>
            </w:pPr>
            <w:r>
              <w:rPr>
                <w:rFonts w:eastAsia="Times New Roman" w:ascii="Cambria" w:hAnsi="Cambria"/>
                <w:b/>
                <w:lang w:eastAsia="pl-PL"/>
              </w:rPr>
              <w:t>Dane techniczne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/>
                <w:b/>
                <w:lang w:eastAsia="pl-PL"/>
              </w:rPr>
            </w:pPr>
            <w:r>
              <w:rPr>
                <w:rFonts w:eastAsia="Times New Roman" w:ascii="Cambria" w:hAnsi="Cambria"/>
                <w:b/>
                <w:lang w:eastAsia="pl-PL"/>
              </w:rPr>
              <w:t>Parametr wymagany</w:t>
            </w:r>
          </w:p>
        </w:tc>
      </w:tr>
      <w:tr>
        <w:trPr/>
        <w:tc>
          <w:tcPr>
            <w:tcW w:w="2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  <w:t>300 litrów</w:t>
            </w:r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  <w:t>Maksymalna 1 450 mm</w:t>
            </w:r>
          </w:p>
        </w:tc>
      </w:tr>
      <w:tr>
        <w:trPr/>
        <w:tc>
          <w:tcPr>
            <w:tcW w:w="2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</w:r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  <w:t>Maksymalna  750 mm</w:t>
            </w:r>
          </w:p>
        </w:tc>
      </w:tr>
      <w:tr>
        <w:trPr/>
        <w:tc>
          <w:tcPr>
            <w:tcW w:w="2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  <w:t>400 litrów</w:t>
            </w:r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  <w:t>Maksymalna 1 600 mm</w:t>
            </w:r>
          </w:p>
        </w:tc>
      </w:tr>
      <w:tr>
        <w:trPr/>
        <w:tc>
          <w:tcPr>
            <w:tcW w:w="2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</w:r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  <w:t>Maksymalna  850 mm</w:t>
            </w:r>
          </w:p>
        </w:tc>
      </w:tr>
      <w:tr>
        <w:trPr/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cs="Calibri" w:cstheme="minorHAnsi"/>
              </w:rPr>
              <w:t xml:space="preserve">minimum = 150 </w:t>
            </w:r>
            <w:r>
              <w:rPr>
                <w:rFonts w:cs="Calibri" w:cstheme="minorHAnsi"/>
                <w:vertAlign w:val="superscript"/>
              </w:rPr>
              <w:t>O</w:t>
            </w:r>
            <w:r>
              <w:rPr>
                <w:rFonts w:cs="Calibri" w:cstheme="minorHAnsi"/>
              </w:rPr>
              <w:t>C</w:t>
            </w:r>
          </w:p>
        </w:tc>
      </w:tr>
      <w:tr>
        <w:trPr/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cs="Calibri" w:cstheme="minorHAnsi"/>
              </w:rPr>
              <w:t xml:space="preserve">minimum = 110 </w:t>
            </w:r>
            <w:r>
              <w:rPr>
                <w:rFonts w:cs="Calibri" w:cstheme="minorHAnsi"/>
                <w:vertAlign w:val="superscript"/>
              </w:rPr>
              <w:t>O</w:t>
            </w:r>
            <w:r>
              <w:rPr>
                <w:rFonts w:cs="Calibri" w:cstheme="minorHAnsi"/>
              </w:rPr>
              <w:t>C</w:t>
            </w:r>
          </w:p>
        </w:tc>
      </w:tr>
      <w:tr>
        <w:trPr/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cs="Calibri" w:cstheme="minorHAnsi"/>
              </w:rPr>
              <w:t xml:space="preserve">minimum = 95 </w:t>
            </w:r>
            <w:r>
              <w:rPr>
                <w:rFonts w:cs="Calibri" w:cstheme="minorHAnsi"/>
                <w:vertAlign w:val="superscript"/>
              </w:rPr>
              <w:t>O</w:t>
            </w:r>
            <w:r>
              <w:rPr>
                <w:rFonts w:cs="Calibri" w:cstheme="minorHAnsi"/>
              </w:rPr>
              <w:t>C</w:t>
            </w:r>
          </w:p>
        </w:tc>
      </w:tr>
      <w:tr>
        <w:trPr/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  <w:t>Ciśnienie robocze w obiegu solarnym (dolna wężownica):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cs="Calibri" w:cstheme="minorHAnsi"/>
              </w:rPr>
              <w:t>minimum = 10 bar</w:t>
            </w:r>
          </w:p>
        </w:tc>
      </w:tr>
      <w:tr>
        <w:trPr/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  <w:t>Ciśnienie robocze w obiegu c.o. (górna wężownica):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cs="Calibri" w:cstheme="minorHAnsi"/>
              </w:rPr>
              <w:t>minimum = 10 bar</w:t>
            </w:r>
          </w:p>
        </w:tc>
      </w:tr>
      <w:tr>
        <w:trPr/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eastAsia="Times New Roman" w:ascii="Cambria" w:hAnsi="Cambria"/>
                <w:bCs/>
                <w:lang w:eastAsia="pl-PL"/>
              </w:rPr>
              <w:t>Ciśnienie robocze w obiegu c.w.u.: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cs="Calibri" w:cstheme="minorHAnsi"/>
              </w:rPr>
              <w:t>minimum = 10 bar</w:t>
            </w:r>
          </w:p>
        </w:tc>
      </w:tr>
      <w:tr>
        <w:trPr/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cs="Calibri" w:cstheme="minorHAnsi"/>
              </w:rPr>
              <w:t>Klasa energetyczna A zgodnie z Rozporządzeniem Delegowanym Komisji UE nr 812/2013 dla pojemności podgrzewacza wody &lt;=500dm3 a w przypadku pojemności &gt;500dm3 do &lt;=2000dm3 winien spełniać Rozporządzenie Delegowane Komisji UE nr 814/2014.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OBLIGATORYJNIE</w:t>
            </w:r>
          </w:p>
        </w:tc>
      </w:tr>
      <w:tr>
        <w:trPr/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ascii="Cambria" w:hAnsi="Cambria" w:eastAsia="Times New Roman"/>
                <w:bCs/>
                <w:lang w:eastAsia="pl-PL"/>
              </w:rPr>
            </w:pPr>
            <w:r>
              <w:rPr>
                <w:rFonts w:cs="Calibri" w:cstheme="minorHAnsi"/>
              </w:rPr>
              <w:t>Deklaracja zgodności z normą PN-EN 12897:2016 lub równoważną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OBLIGATORYJNIE</w:t>
            </w:r>
          </w:p>
        </w:tc>
      </w:tr>
      <w:tr>
        <w:trPr/>
        <w:tc>
          <w:tcPr>
            <w:tcW w:w="5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Deklaracja zgodności z dyrektywą dotyczącą urządzeń ciśnieniowych 2014/68/UE lub równoważną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76" w:before="0" w:after="160"/>
              <w:ind w:left="0" w:hanging="0"/>
              <w:contextualSpacing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OBLIGATORYJNIE</w:t>
            </w:r>
          </w:p>
        </w:tc>
      </w:tr>
    </w:tbl>
    <w:p>
      <w:pPr>
        <w:pStyle w:val="Normal"/>
        <w:jc w:val="center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część 2 zamówienia:</w:t>
      </w:r>
    </w:p>
    <w:p>
      <w:pPr>
        <w:pStyle w:val="Normal"/>
        <w:jc w:val="center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Moduł fotowoltaiczny – karta katalogowa.</w:t>
      </w:r>
    </w:p>
    <w:tbl>
      <w:tblPr>
        <w:tblStyle w:val="Tabela-Siatka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3184"/>
        <w:gridCol w:w="5531"/>
      </w:tblGrid>
      <w:tr>
        <w:trPr/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wymagań </w:t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Parametry wymagane </w:t>
            </w:r>
          </w:p>
        </w:tc>
      </w:tr>
      <w:tr>
        <w:trPr/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modułu</w:t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Monokrystaliczny</w:t>
            </w:r>
          </w:p>
        </w:tc>
      </w:tr>
      <w:tr>
        <w:trPr>
          <w:trHeight w:val="439" w:hRule="atLeast"/>
        </w:trPr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modułu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Min.: 380 Wp </w:t>
            </w:r>
            <w:r>
              <w:rPr>
                <w:sz w:val="18"/>
                <w:szCs w:val="20"/>
              </w:rPr>
              <w:t>(standardowe warunki testu: napromieniowanie 1000 W/m</w:t>
            </w:r>
            <w:r>
              <w:rPr>
                <w:sz w:val="18"/>
                <w:szCs w:val="20"/>
                <w:vertAlign w:val="superscript"/>
              </w:rPr>
              <w:t>2</w:t>
            </w:r>
            <w:r>
              <w:rPr>
                <w:sz w:val="18"/>
                <w:szCs w:val="20"/>
              </w:rPr>
              <w:t>, temperatura ogniw 25˚C i współczynnik masy powietrza AM 1,5)</w:t>
            </w:r>
          </w:p>
        </w:tc>
      </w:tr>
      <w:tr>
        <w:trPr/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modułu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Min.: 19,91 % </w:t>
            </w:r>
            <w:r>
              <w:rPr>
                <w:sz w:val="18"/>
                <w:szCs w:val="20"/>
              </w:rPr>
              <w:t>(standardowe warunki testu: napromieniowanie 1000 W/m</w:t>
            </w:r>
            <w:r>
              <w:rPr>
                <w:sz w:val="18"/>
                <w:szCs w:val="20"/>
                <w:vertAlign w:val="superscript"/>
              </w:rPr>
              <w:t>2</w:t>
            </w:r>
            <w:r>
              <w:rPr>
                <w:sz w:val="18"/>
                <w:szCs w:val="20"/>
              </w:rPr>
              <w:t>, temperatura ogniw 25˚C i współczynnik masy powietrza AM 1,5)</w:t>
            </w:r>
          </w:p>
        </w:tc>
      </w:tr>
      <w:tr>
        <w:trPr/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Tolerancja mocy  </w:t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0~+3 % </w:t>
            </w:r>
            <w:r>
              <w:rPr>
                <w:sz w:val="18"/>
                <w:szCs w:val="20"/>
              </w:rPr>
              <w:t>(standardowe warunki testu: napromieniowanie 1000 W/m</w:t>
            </w:r>
            <w:r>
              <w:rPr>
                <w:sz w:val="18"/>
                <w:szCs w:val="20"/>
                <w:vertAlign w:val="superscript"/>
              </w:rPr>
              <w:t>2</w:t>
            </w:r>
            <w:r>
              <w:rPr>
                <w:sz w:val="18"/>
                <w:szCs w:val="20"/>
              </w:rPr>
              <w:t>, temperatura ogniw 25˚C i współczynnik masy powietrza AM 1,5)</w:t>
            </w:r>
          </w:p>
        </w:tc>
      </w:tr>
      <w:tr>
        <w:trPr/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wypełnienia FF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(potwierdzone raportem z badań przeprowadzonym przez niezależną jednostkę badawczą)</w:t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Min.: 78%</w:t>
            </w:r>
          </w:p>
        </w:tc>
      </w:tr>
      <w:tr>
        <w:trPr/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Współczynnik temp. dla Pmax (potwierdzone raportem z badań przeprowadzonym przez niezależną jednostkę badawczą) </w:t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-0,34 %/˚C   (zakres od 0 do -0,34 %/˚C)</w:t>
            </w:r>
          </w:p>
        </w:tc>
      </w:tr>
      <w:tr>
        <w:trPr/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temperaturowy Isc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(potwierdzone raportem z badań przeprowadzonym przez niezależną jednostkę badawczą)</w:t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0,05%/°C</w:t>
            </w:r>
          </w:p>
        </w:tc>
      </w:tr>
      <w:tr>
        <w:trPr/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Liniowa gwarancja mocy </w:t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Min.: 84,00% po 25 latach</w:t>
            </w:r>
          </w:p>
        </w:tc>
      </w:tr>
      <w:tr>
        <w:trPr/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producenta</w:t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Min.: 10 lat</w:t>
            </w:r>
          </w:p>
        </w:tc>
      </w:tr>
      <w:tr>
        <w:trPr/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BB na ogniwie </w:t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Min.: 5 szt.</w:t>
            </w:r>
          </w:p>
        </w:tc>
      </w:tr>
      <w:tr>
        <w:trPr/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Powierzchnia modułu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(potwierdzone raportem z badań przeprowadzonym przez niezależną jednostkę badawczą)</w:t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Max.: 1,91 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18"/>
                <w:szCs w:val="20"/>
              </w:rPr>
              <w:t xml:space="preserve">(Przy podaniu zakresu w wymiarze modułu w karcie katalogowej (±) do weryfikacji zostaje przyjęta największa możliwa powierzchnia zaproponowanego modułu)   </w:t>
            </w:r>
          </w:p>
        </w:tc>
      </w:tr>
      <w:tr>
        <w:trPr/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ramy modułu</w:t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Min.: 30 mm</w:t>
            </w:r>
          </w:p>
        </w:tc>
      </w:tr>
      <w:tr>
        <w:trPr/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Wytrzymałość mechaniczna na obciążenie od śniegu </w:t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Min.: 5400 Pa</w:t>
            </w:r>
          </w:p>
        </w:tc>
      </w:tr>
      <w:tr>
        <w:trPr/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Wytrzymałość mechaniczna na parcie i ssanie wiatru </w:t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Min.: 2400 Pa</w:t>
            </w:r>
          </w:p>
        </w:tc>
      </w:tr>
      <w:tr>
        <w:trPr/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temperatur</w:t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-40 do +85˚C lub szerszy</w:t>
            </w:r>
          </w:p>
        </w:tc>
      </w:tr>
      <w:tr>
        <w:trPr>
          <w:trHeight w:val="58" w:hRule="atLeast"/>
        </w:trPr>
        <w:tc>
          <w:tcPr>
            <w:tcW w:w="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ogniw w module </w:t>
            </w:r>
          </w:p>
        </w:tc>
        <w:tc>
          <w:tcPr>
            <w:tcW w:w="5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2x66</w:t>
            </w:r>
          </w:p>
        </w:tc>
      </w:tr>
    </w:tbl>
    <w:p>
      <w:pPr>
        <w:pStyle w:val="Normal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Cambria" w:hAnsi="Cambria"/>
          <w:b/>
          <w:b/>
          <w:bCs/>
          <w:sz w:val="28"/>
          <w:szCs w:val="28"/>
          <w:lang w:val="pl"/>
        </w:rPr>
      </w:pPr>
      <w:r>
        <w:rPr>
          <w:rFonts w:ascii="Cambria" w:hAnsi="Cambria"/>
          <w:b/>
          <w:bCs/>
          <w:sz w:val="28"/>
          <w:szCs w:val="28"/>
          <w:lang w:val="pl"/>
        </w:rPr>
        <w:t>Inwerter fotowoltaiczny</w:t>
      </w:r>
    </w:p>
    <w:p>
      <w:pPr>
        <w:pStyle w:val="ListParagraph"/>
        <w:rPr>
          <w:rFonts w:ascii="Calibri-Bold" w:hAnsi="Calibri-Bold" w:cs="Calibri-Bold"/>
          <w:b/>
          <w:b/>
          <w:bCs/>
        </w:rPr>
      </w:pPr>
      <w:r>
        <w:rPr>
          <w:rFonts w:cs="Calibri-Bold" w:ascii="Calibri-Bold" w:hAnsi="Calibri-Bold"/>
          <w:b/>
          <w:bCs/>
        </w:rPr>
      </w:r>
    </w:p>
    <w:p>
      <w:pPr>
        <w:pStyle w:val="ListParagraph"/>
        <w:ind w:left="426" w:hanging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INVERTER 3-fazowy</w:t>
      </w:r>
    </w:p>
    <w:tbl>
      <w:tblPr>
        <w:tblStyle w:val="Tabela-Siatka"/>
        <w:tblW w:w="878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3"/>
        <w:gridCol w:w="2595"/>
        <w:gridCol w:w="2596"/>
        <w:gridCol w:w="2827"/>
      </w:tblGrid>
      <w:tr>
        <w:trPr/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19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>
        <w:trPr/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1</w:t>
            </w:r>
          </w:p>
        </w:tc>
        <w:tc>
          <w:tcPr>
            <w:tcW w:w="519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Typ falownika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</w:rPr>
              <w:t>Beztransformatorowy</w:t>
            </w:r>
          </w:p>
        </w:tc>
      </w:tr>
      <w:tr>
        <w:trPr/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2</w:t>
            </w:r>
          </w:p>
        </w:tc>
        <w:tc>
          <w:tcPr>
            <w:tcW w:w="519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</w:rPr>
              <w:t>Wbudowany</w:t>
            </w:r>
          </w:p>
        </w:tc>
      </w:tr>
      <w:tr>
        <w:trPr/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3</w:t>
            </w:r>
          </w:p>
        </w:tc>
        <w:tc>
          <w:tcPr>
            <w:tcW w:w="5191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Stopień ochrony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IP 65</w:t>
            </w:r>
          </w:p>
        </w:tc>
      </w:tr>
      <w:tr>
        <w:trPr/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4</w:t>
            </w:r>
          </w:p>
        </w:tc>
        <w:tc>
          <w:tcPr>
            <w:tcW w:w="5191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Temperatura pracy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od -20 </w:t>
            </w:r>
            <w:r>
              <w:rPr>
                <w:rFonts w:cs="Calibri" w:cstheme="minorHAnsi"/>
                <w:bCs/>
                <w:vertAlign w:val="superscript"/>
              </w:rPr>
              <w:t>0</w:t>
            </w:r>
            <w:r>
              <w:rPr>
                <w:rFonts w:cs="Calibri" w:cstheme="minorHAnsi"/>
                <w:bCs/>
              </w:rPr>
              <w:t>C do +50</w:t>
            </w:r>
            <w:r>
              <w:rPr>
                <w:rFonts w:cs="Calibri" w:cstheme="minorHAnsi"/>
                <w:bCs/>
                <w:vertAlign w:val="superscript"/>
              </w:rPr>
              <w:t>0</w:t>
            </w:r>
            <w:r>
              <w:rPr>
                <w:rFonts w:cs="Calibri" w:cstheme="minorHAnsi"/>
                <w:bCs/>
              </w:rPr>
              <w:t>C</w:t>
            </w:r>
          </w:p>
        </w:tc>
      </w:tr>
      <w:tr>
        <w:trPr/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5</w:t>
            </w:r>
          </w:p>
        </w:tc>
        <w:tc>
          <w:tcPr>
            <w:tcW w:w="5191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Pomiar izolacji po stronie DC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</w:tr>
      <w:tr>
        <w:trPr/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6</w:t>
            </w:r>
          </w:p>
        </w:tc>
        <w:tc>
          <w:tcPr>
            <w:tcW w:w="5191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</w:rPr>
              <w:t>Zabezpieczenie przed pracą wyspową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</w:tr>
      <w:tr>
        <w:trPr/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7</w:t>
            </w:r>
          </w:p>
        </w:tc>
        <w:tc>
          <w:tcPr>
            <w:tcW w:w="5191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Monitoring parametrów sieci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</w:tr>
      <w:tr>
        <w:trPr/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8</w:t>
            </w:r>
          </w:p>
        </w:tc>
        <w:tc>
          <w:tcPr>
            <w:tcW w:w="5191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</w:rPr>
              <w:t>Zabezpieczenie przed błędną polaryzacją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</w:tr>
      <w:tr>
        <w:trPr/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9</w:t>
            </w:r>
          </w:p>
        </w:tc>
        <w:tc>
          <w:tcPr>
            <w:tcW w:w="5191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Gwarancja na produkt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10 lat</w:t>
            </w:r>
          </w:p>
        </w:tc>
      </w:tr>
      <w:tr>
        <w:trPr>
          <w:trHeight w:val="222" w:hRule="atLeast"/>
        </w:trPr>
        <w:tc>
          <w:tcPr>
            <w:tcW w:w="763" w:type="dxa"/>
            <w:vMerge w:val="restart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10</w:t>
            </w:r>
          </w:p>
        </w:tc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Instalacja o mocy min 3,10</w:t>
            </w:r>
          </w:p>
        </w:tc>
        <w:tc>
          <w:tcPr>
            <w:tcW w:w="259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Minimalna moc wyjściowa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3 kW</w:t>
            </w:r>
          </w:p>
        </w:tc>
      </w:tr>
      <w:tr>
        <w:trPr>
          <w:trHeight w:val="222" w:hRule="atLeast"/>
        </w:trPr>
        <w:tc>
          <w:tcPr>
            <w:tcW w:w="763" w:type="dxa"/>
            <w:vMerge w:val="continue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Instalacja o mocy min 4,03</w:t>
            </w:r>
          </w:p>
        </w:tc>
        <w:tc>
          <w:tcPr>
            <w:tcW w:w="259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Minimalna moc wyjściowa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4 kW</w:t>
            </w:r>
          </w:p>
        </w:tc>
      </w:tr>
      <w:tr>
        <w:trPr/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11</w:t>
            </w:r>
          </w:p>
        </w:tc>
        <w:tc>
          <w:tcPr>
            <w:tcW w:w="5191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</w:rPr>
              <w:t>Minimalna sprawność europejska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97,4 %</w:t>
            </w:r>
          </w:p>
        </w:tc>
      </w:tr>
      <w:tr>
        <w:trPr/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12</w:t>
            </w:r>
          </w:p>
        </w:tc>
        <w:tc>
          <w:tcPr>
            <w:tcW w:w="519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Możliwość aktualizacji oprogramowania falo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US"/>
              </w:rPr>
              <w:t xml:space="preserve"> wnika za pomocą USB i/lub internetu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</w:tr>
      <w:tr>
        <w:trPr/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13</w:t>
            </w:r>
          </w:p>
        </w:tc>
        <w:tc>
          <w:tcPr>
            <w:tcW w:w="519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Podłączenie do internetu poprzez LAN i/lub Wifi, dedykowany portal internetowy umożliwiający podgląd pracy instalacji oraz archiwizowania danych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</w:tr>
      <w:tr>
        <w:trPr/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14</w:t>
            </w:r>
          </w:p>
        </w:tc>
        <w:tc>
          <w:tcPr>
            <w:tcW w:w="519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Zachowanie przy nadmiernym obciążeniu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Obniżenie krzywej pracy – ograniczenie mocy</w:t>
            </w:r>
          </w:p>
        </w:tc>
      </w:tr>
      <w:tr>
        <w:trPr/>
        <w:tc>
          <w:tcPr>
            <w:tcW w:w="76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15</w:t>
            </w:r>
          </w:p>
        </w:tc>
        <w:tc>
          <w:tcPr>
            <w:tcW w:w="519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Możliwość współpracy z optymalizatorami mocy</w:t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</w:tr>
    </w:tbl>
    <w:p>
      <w:pPr>
        <w:pStyle w:val="Normal"/>
        <w:jc w:val="center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142" w:hanging="66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Moduł fotowoltaiczny – sprawozdanie z badań</w:t>
      </w:r>
    </w:p>
    <w:p>
      <w:pPr>
        <w:pStyle w:val="ListParagraph"/>
        <w:jc w:val="center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tbl>
      <w:tblPr>
        <w:tblW w:w="877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22"/>
        <w:gridCol w:w="4988"/>
        <w:gridCol w:w="3467"/>
      </w:tblGrid>
      <w:tr>
        <w:trPr/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Lp.</w:t>
            </w:r>
          </w:p>
        </w:tc>
        <w:tc>
          <w:tcPr>
            <w:tcW w:w="4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Opis wymagań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Parametry wymagane</w:t>
            </w:r>
          </w:p>
        </w:tc>
      </w:tr>
      <w:tr>
        <w:trPr>
          <w:trHeight w:val="454" w:hRule="exact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Moc modułu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Min.: 380 Wp </w:t>
            </w:r>
          </w:p>
        </w:tc>
      </w:tr>
      <w:tr>
        <w:trPr>
          <w:trHeight w:val="454" w:hRule="exact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Sprawność modułu 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Min.: 19,91 % </w:t>
            </w:r>
          </w:p>
        </w:tc>
      </w:tr>
      <w:tr>
        <w:trPr>
          <w:trHeight w:val="454" w:hRule="exact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wypełnienia FF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Min.: 78%</w:t>
            </w:r>
          </w:p>
        </w:tc>
      </w:tr>
      <w:tr>
        <w:trPr>
          <w:trHeight w:val="454" w:hRule="exact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Współczynnik temp. dla Pmax 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-0,34 %/˚C   (zakres o d 0 do -0,34 %/˚C)</w:t>
            </w:r>
          </w:p>
        </w:tc>
      </w:tr>
      <w:tr>
        <w:trPr>
          <w:trHeight w:val="454" w:hRule="exact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temperaturowy Isc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0,05%/°C</w:t>
            </w:r>
          </w:p>
        </w:tc>
      </w:tr>
      <w:tr>
        <w:trPr>
          <w:trHeight w:val="454" w:hRule="exact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Powierzchnia modułu 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Max.: 1,91  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</w:tc>
      </w:tr>
    </w:tbl>
    <w:p>
      <w:pPr>
        <w:pStyle w:val="Normal"/>
        <w:jc w:val="center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część 3 zamówienia:</w:t>
      </w:r>
    </w:p>
    <w:p>
      <w:pPr>
        <w:pStyle w:val="Normal"/>
        <w:jc w:val="center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720" w:hanging="720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Kocioł na biomasę.</w:t>
      </w:r>
    </w:p>
    <w:tbl>
      <w:tblPr>
        <w:tblW w:w="878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4686"/>
        <w:gridCol w:w="1551"/>
        <w:gridCol w:w="2552"/>
      </w:tblGrid>
      <w:tr>
        <w:trPr>
          <w:trHeight w:val="442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Dane techniczne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Jednostka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Parametry</w:t>
            </w:r>
          </w:p>
        </w:tc>
      </w:tr>
      <w:tr>
        <w:trPr>
          <w:trHeight w:val="290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Sprawność kotła minimum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88,6</w:t>
            </w:r>
          </w:p>
        </w:tc>
      </w:tr>
      <w:tr>
        <w:trPr>
          <w:trHeight w:val="290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Płynna modulacja mocy kotła w zakresie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30-100</w:t>
            </w:r>
          </w:p>
        </w:tc>
      </w:tr>
      <w:tr>
        <w:trPr>
          <w:trHeight w:val="290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Minimalna temperatura powrotu czynnika grzewczego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°C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55</w:t>
            </w:r>
          </w:p>
        </w:tc>
      </w:tr>
      <w:tr>
        <w:trPr>
          <w:trHeight w:val="290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Maksymalna temperatura pracy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°C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85</w:t>
            </w:r>
          </w:p>
        </w:tc>
      </w:tr>
      <w:tr>
        <w:trPr>
          <w:trHeight w:val="290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Ogranicznik temperatury STB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°C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94</w:t>
            </w:r>
          </w:p>
        </w:tc>
      </w:tr>
      <w:tr>
        <w:trPr>
          <w:trHeight w:val="290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Minimalna ilość ciągów spalin w wymienniku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Trzy ciągi spalin</w:t>
            </w:r>
          </w:p>
        </w:tc>
      </w:tr>
      <w:tr>
        <w:trPr>
          <w:trHeight w:val="290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Minimalna grubość blachy w wymienniku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</w:t>
            </w:r>
          </w:p>
        </w:tc>
      </w:tr>
      <w:tr>
        <w:trPr>
          <w:trHeight w:val="290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Budowa wymiennika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Płomieniówkowo- półkowa</w:t>
            </w:r>
          </w:p>
        </w:tc>
      </w:tr>
      <w:tr>
        <w:trPr>
          <w:trHeight w:val="279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Maksymalna wysokość kotła i zasobnika na pellet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1600</w:t>
            </w:r>
          </w:p>
        </w:tc>
      </w:tr>
      <w:tr>
        <w:trPr>
          <w:trHeight w:val="279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Maksymalna szerokość kotła i zasobnika na pellet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600</w:t>
            </w:r>
          </w:p>
        </w:tc>
      </w:tr>
      <w:tr>
        <w:trPr>
          <w:trHeight w:val="279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Dopuszczalne ciśnienie pracy do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bar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Pojemność zasobnika minimum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300</w:t>
            </w:r>
          </w:p>
        </w:tc>
      </w:tr>
      <w:tr>
        <w:trPr>
          <w:trHeight w:val="302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Minimalna długość rury podającej pellet ze spiralą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1350</w:t>
            </w:r>
          </w:p>
        </w:tc>
      </w:tr>
      <w:tr>
        <w:trPr>
          <w:trHeight w:val="302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Minimalna długość rury przeźroczystej giętkiej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1000</w:t>
            </w:r>
          </w:p>
        </w:tc>
      </w:tr>
      <w:tr>
        <w:trPr>
          <w:trHeight w:val="302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Wymagany zakres modulacji palnika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30 - 100</w:t>
            </w:r>
          </w:p>
        </w:tc>
      </w:tr>
      <w:tr>
        <w:trPr>
          <w:trHeight w:val="302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Wymagane elementy wyposażenia palnika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Zapalarka ceramiczna, fotoelement, czujniki temperatury, automatyczne czyszczenie palnika, (zgarniacz szlaki)</w:t>
            </w:r>
          </w:p>
        </w:tc>
      </w:tr>
      <w:tr>
        <w:trPr>
          <w:trHeight w:val="302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Wymagany zakres modulacji palnika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30-100</w:t>
            </w:r>
          </w:p>
        </w:tc>
      </w:tr>
      <w:tr>
        <w:trPr>
          <w:trHeight w:val="302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Dopuszczona budowa palnika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Wrzutowy  (nasypowy)</w:t>
            </w:r>
          </w:p>
        </w:tc>
      </w:tr>
      <w:tr>
        <w:trPr>
          <w:trHeight w:val="302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System napowietrzania procesu spalania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Dysze powietrza pierwotnego, dysze powietrza wtórnego</w:t>
            </w:r>
          </w:p>
        </w:tc>
      </w:tr>
      <w:tr>
        <w:trPr>
          <w:trHeight w:val="302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spacing w:before="0" w:after="12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Sterownik z możliwością zliczania i zapisu na karcie micro SD (SD) impulsów z zewnętrznego przepływomierza z czujnikami temperatury zasilanie/ powrót – funkcja zliczania ciepła.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Obligatoryjnie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02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spacing w:before="0" w:after="12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Możliwość podłączenie do sterownika modułu komunikacji internetowej umożliwiającego zdalny dostęp do parametrów kotła, w tym informacji o ilości wytworzonego ciepła przez kocioł – wymaga podłączenia do sieci INTERNET.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Obligatoryjnie</w:t>
            </w:r>
          </w:p>
        </w:tc>
      </w:tr>
      <w:tr>
        <w:trPr>
          <w:trHeight w:val="302" w:hRule="atLeast"/>
        </w:trPr>
        <w:tc>
          <w:tcPr>
            <w:tcW w:w="4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Wcicietrecitekstu"/>
              <w:snapToGrid w:val="false"/>
              <w:spacing w:before="0" w:after="12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Gwarancja na kocioł min. 5 lat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Kpl.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Obligatoryjnie</w:t>
            </w:r>
          </w:p>
        </w:tc>
      </w:tr>
    </w:tbl>
    <w:p>
      <w:pPr>
        <w:pStyle w:val="ListParagraph"/>
        <w:spacing w:before="0" w:after="160"/>
        <w:ind w:left="426" w:hanging="0"/>
        <w:contextualSpacing/>
        <w:rPr/>
      </w:pPr>
      <w:r>
        <w:rPr/>
      </w:r>
    </w:p>
    <w:sectPr>
      <w:headerReference w:type="default" r:id="rId2"/>
      <w:type w:val="nextPage"/>
      <w:pgSz w:w="11906" w:h="16838"/>
      <w:pgMar w:left="1985" w:right="1134" w:header="136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libri-Bold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Cs w:val="20"/>
      </w:rPr>
    </w:pPr>
    <w:r>
      <w:rPr/>
      <w:drawing>
        <wp:inline distT="0" distB="0" distL="0" distR="0">
          <wp:extent cx="5753735" cy="1068705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spacing w:lineRule="auto" w:line="276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„Wzrost wykorzystania Odnawialnych źródeł Energii w Gminie Dzierzkowice – etap 2”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>
    <w:pPr>
      <w:pStyle w:val="Gwka"/>
      <w:spacing w:lineRule="auto" w:line="276"/>
      <w:jc w:val="center"/>
      <w:rPr/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1336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469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469b1"/>
    <w:rPr/>
  </w:style>
  <w:style w:type="character" w:styleId="TekstpodstawowyZnak" w:customStyle="1">
    <w:name w:val="Tekst podstawowy Znak"/>
    <w:basedOn w:val="DefaultParagraphFont"/>
    <w:uiPriority w:val="99"/>
    <w:semiHidden/>
    <w:qFormat/>
    <w:rsid w:val="00b469b1"/>
    <w:rPr/>
  </w:style>
  <w:style w:type="character" w:styleId="TekstpodstawowyZnak1" w:customStyle="1">
    <w:name w:val="Tekst podstawowy Znak1"/>
    <w:basedOn w:val="DefaultParagraphFont"/>
    <w:link w:val="Tekstpodstawowy"/>
    <w:qFormat/>
    <w:rsid w:val="00b469b1"/>
    <w:rPr>
      <w:rFonts w:ascii="Arial" w:hAnsi="Arial" w:eastAsia="Times New Roman" w:cs="Arial"/>
      <w:b/>
      <w:bCs/>
      <w:sz w:val="20"/>
      <w:szCs w:val="20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7a22"/>
    <w:rPr>
      <w:sz w:val="18"/>
      <w:szCs w:val="18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7a22"/>
    <w:rPr>
      <w:sz w:val="24"/>
      <w:szCs w:val="24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7a2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f7a22"/>
    <w:rPr>
      <w:rFonts w:ascii="Times New Roman" w:hAnsi="Times New Roman" w:cs="Times New Roman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9f7a22"/>
    <w:rPr/>
  </w:style>
  <w:style w:type="character" w:styleId="S1" w:customStyle="1">
    <w:name w:val="s1"/>
    <w:basedOn w:val="DefaultParagraphFont"/>
    <w:qFormat/>
    <w:rsid w:val="00b1336c"/>
    <w:rPr>
      <w:rFonts w:ascii="Calibri" w:hAnsi="Calibri"/>
      <w:b w:val="false"/>
      <w:bCs w:val="false"/>
      <w:i w:val="false"/>
      <w:iCs w:val="false"/>
      <w:color w:val="000000"/>
      <w:sz w:val="22"/>
      <w:szCs w:val="22"/>
    </w:rPr>
  </w:style>
  <w:style w:type="character" w:styleId="S2" w:customStyle="1">
    <w:name w:val="s2"/>
    <w:basedOn w:val="DefaultParagraphFont"/>
    <w:qFormat/>
    <w:rsid w:val="00b1336c"/>
    <w:rPr>
      <w:rFonts w:ascii="Helvetica" w:hAnsi="Helvetica"/>
      <w:b w:val="false"/>
      <w:bCs w:val="false"/>
      <w:i w:val="false"/>
      <w:iCs w:val="false"/>
      <w:color w:val="000000"/>
      <w:sz w:val="22"/>
      <w:szCs w:val="22"/>
    </w:rPr>
  </w:style>
  <w:style w:type="character" w:styleId="S4" w:customStyle="1">
    <w:name w:val="s4"/>
    <w:basedOn w:val="DefaultParagraphFont"/>
    <w:qFormat/>
    <w:rsid w:val="00b1336c"/>
    <w:rPr>
      <w:rFonts w:ascii="Calibri" w:hAnsi="Calibri"/>
      <w:b w:val="false"/>
      <w:bCs w:val="false"/>
      <w:i w:val="false"/>
      <w:iCs w:val="false"/>
      <w:color w:val="000000"/>
      <w:sz w:val="14"/>
      <w:szCs w:val="14"/>
    </w:rPr>
  </w:style>
  <w:style w:type="character" w:styleId="S3" w:customStyle="1">
    <w:name w:val="s3"/>
    <w:basedOn w:val="DefaultParagraphFont"/>
    <w:qFormat/>
    <w:rsid w:val="00b1336c"/>
    <w:rPr>
      <w:rFonts w:ascii="Helvetica" w:hAnsi="Helvetica"/>
      <w:b w:val="false"/>
      <w:bCs w:val="false"/>
      <w:i w:val="false"/>
      <w:iCs w:val="false"/>
      <w:color w:val="000000"/>
      <w:sz w:val="22"/>
      <w:szCs w:val="22"/>
    </w:rPr>
  </w:style>
  <w:style w:type="character" w:styleId="S8" w:customStyle="1">
    <w:name w:val="s8"/>
    <w:basedOn w:val="DefaultParagraphFont"/>
    <w:qFormat/>
    <w:rsid w:val="008e4513"/>
    <w:rPr>
      <w:rFonts w:ascii="Times New Roman" w:hAnsi="Times New Roman" w:cs="Times New Roman"/>
      <w:b w:val="false"/>
      <w:bCs w:val="false"/>
      <w:i w:val="false"/>
      <w:iCs w:val="false"/>
      <w:color w:val="000000"/>
      <w:sz w:val="13"/>
      <w:szCs w:val="13"/>
    </w:rPr>
  </w:style>
  <w:style w:type="character" w:styleId="S7" w:customStyle="1">
    <w:name w:val="s7"/>
    <w:basedOn w:val="DefaultParagraphFont"/>
    <w:qFormat/>
    <w:rsid w:val="008e4513"/>
    <w:rPr>
      <w:rFonts w:ascii="Helvetica" w:hAnsi="Helvetica"/>
      <w:b w:val="false"/>
      <w:bCs w:val="false"/>
      <w:i w:val="false"/>
      <w:iCs w:val="false"/>
      <w:color w:val="000000"/>
      <w:sz w:val="20"/>
      <w:szCs w:val="20"/>
    </w:rPr>
  </w:style>
  <w:style w:type="character" w:styleId="S5" w:customStyle="1">
    <w:name w:val="s5"/>
    <w:basedOn w:val="DefaultParagraphFont"/>
    <w:qFormat/>
    <w:rsid w:val="008e4513"/>
    <w:rPr>
      <w:rFonts w:ascii="Helvetica" w:hAnsi="Helvetica"/>
      <w:b w:val="false"/>
      <w:bCs w:val="false"/>
      <w:i w:val="false"/>
      <w:iCs w:val="false"/>
      <w:color w:val="000000"/>
      <w:sz w:val="18"/>
      <w:szCs w:val="18"/>
    </w:rPr>
  </w:style>
  <w:style w:type="character" w:styleId="S6" w:customStyle="1">
    <w:name w:val="s6"/>
    <w:basedOn w:val="DefaultParagraphFont"/>
    <w:qFormat/>
    <w:rsid w:val="008e4513"/>
    <w:rPr>
      <w:rFonts w:ascii="Times New Roman" w:hAnsi="Times New Roman" w:cs="Times New Roman"/>
      <w:b w:val="false"/>
      <w:bCs w:val="false"/>
      <w:i w:val="false"/>
      <w:iCs w:val="false"/>
      <w:color w:val="000000"/>
      <w:sz w:val="12"/>
      <w:szCs w:val="12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906a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rsid w:val="00b469b1"/>
    <w:pPr>
      <w:suppressAutoHyphens w:val="true"/>
      <w:spacing w:lineRule="auto" w:line="360"/>
      <w:jc w:val="both"/>
    </w:pPr>
    <w:rPr>
      <w:rFonts w:ascii="Arial" w:hAnsi="Arial" w:eastAsia="Times New Roman" w:cs="Arial"/>
      <w:b/>
      <w:bCs/>
      <w:sz w:val="20"/>
      <w:szCs w:val="20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b469b1"/>
    <w:pPr>
      <w:tabs>
        <w:tab w:val="center" w:pos="4536" w:leader="none"/>
        <w:tab w:val="right" w:pos="9072" w:leader="none"/>
      </w:tabs>
    </w:pPr>
    <w:rPr>
      <w:rFonts w:ascii="Calibri" w:hAnsi="Calibri" w:cs="" w:asciiTheme="minorHAnsi" w:cstheme="minorBid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b469b1"/>
    <w:pPr>
      <w:tabs>
        <w:tab w:val="center" w:pos="4536" w:leader="none"/>
        <w:tab w:val="right" w:pos="9072" w:leader="none"/>
      </w:tabs>
    </w:pPr>
    <w:rPr>
      <w:rFonts w:ascii="Calibri" w:hAnsi="Calibri" w:cs="" w:asciiTheme="minorHAnsi" w:cstheme="minorBidi" w:hAnsiTheme="minorHAnsi"/>
      <w:sz w:val="22"/>
      <w:szCs w:val="22"/>
      <w:lang w:eastAsia="en-US"/>
    </w:rPr>
  </w:style>
  <w:style w:type="paragraph" w:styleId="ListParagraph">
    <w:name w:val="List Paragraph"/>
    <w:basedOn w:val="Normal"/>
    <w:link w:val="AkapitzlistZnak"/>
    <w:uiPriority w:val="34"/>
    <w:qFormat/>
    <w:rsid w:val="0079212d"/>
    <w:pPr>
      <w:spacing w:lineRule="auto" w:line="259" w:before="0" w:after="160"/>
      <w:ind w:left="720" w:hanging="0"/>
      <w:contextualSpacing/>
    </w:pPr>
    <w:rPr>
      <w:rFonts w:ascii="Calibri" w:hAnsi="Calibri" w:cs="" w:asciiTheme="minorHAnsi" w:cstheme="minorBidi" w:hAnsiTheme="minorHAns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7a22"/>
    <w:pPr>
      <w:spacing w:before="0" w:after="160"/>
    </w:pPr>
    <w:rPr>
      <w:rFonts w:ascii="Calibri" w:hAnsi="Calibri" w:cs="" w:asciiTheme="minorHAnsi" w:cstheme="minorBidi" w:hAnsiTheme="minorHAnsi"/>
      <w:lang w:eastAsia="en-US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f7a22"/>
    <w:pPr/>
    <w:rPr>
      <w:b/>
      <w:bCs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7a22"/>
    <w:pPr/>
    <w:rPr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b1336c"/>
    <w:pPr>
      <w:spacing w:beforeAutospacing="1" w:afterAutospacing="1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906ab"/>
    <w:pPr>
      <w:spacing w:before="0" w:after="120"/>
      <w:ind w:left="283" w:hanging="0"/>
    </w:pPr>
    <w:rPr/>
  </w:style>
  <w:style w:type="paragraph" w:styleId="Revision">
    <w:name w:val="Revision"/>
    <w:uiPriority w:val="99"/>
    <w:semiHidden/>
    <w:qFormat/>
    <w:rsid w:val="00096fd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10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LibreOffice/6.0.2.1$Windows_x86 LibreOffice_project/f7f06a8f319e4b62f9bc5095aa112a65d2f3ac89</Application>
  <Pages>6</Pages>
  <Words>959</Words>
  <Characters>5955</Characters>
  <CharactersWithSpaces>6694</CharactersWithSpaces>
  <Paragraphs>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2021-02-11T12:34:00Z</dcterms:created>
  <dc:creator>inwestycje-gminy</dc:creator>
  <dc:description/>
  <dc:language>pl-PL</dc:language>
  <cp:lastModifiedBy/>
  <dcterms:modified xsi:type="dcterms:W3CDTF">2021-03-19T08:27:47Z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